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65" w:rsidRPr="00B61159" w:rsidRDefault="00CE5565" w:rsidP="00D512BA">
      <w:pPr>
        <w:spacing w:after="0"/>
        <w:jc w:val="center"/>
        <w:rPr>
          <w:rFonts w:ascii="Arial" w:hAnsi="Arial" w:cs="Arial"/>
          <w:b/>
          <w:bCs/>
        </w:rPr>
      </w:pPr>
      <w:r w:rsidRPr="00B61159">
        <w:rPr>
          <w:rFonts w:ascii="Arial" w:hAnsi="Arial" w:cs="Arial"/>
          <w:b/>
          <w:bCs/>
        </w:rPr>
        <w:t>ARRETE PORTANT ATTRIBUTION</w:t>
      </w:r>
      <w:r w:rsidR="00285D7B">
        <w:rPr>
          <w:rFonts w:ascii="Arial" w:hAnsi="Arial" w:cs="Arial"/>
          <w:b/>
          <w:bCs/>
        </w:rPr>
        <w:t xml:space="preserve"> DE LA PART FIXE </w:t>
      </w:r>
    </w:p>
    <w:p w:rsidR="00A11163" w:rsidRPr="00B61159" w:rsidRDefault="00A11163" w:rsidP="00A11163">
      <w:pPr>
        <w:pStyle w:val="Sansinterligne"/>
        <w:jc w:val="center"/>
        <w:rPr>
          <w:rFonts w:ascii="Arial" w:hAnsi="Arial" w:cs="Arial"/>
        </w:rPr>
      </w:pPr>
      <w:r w:rsidRPr="00B61159">
        <w:rPr>
          <w:rFonts w:ascii="Arial" w:hAnsi="Arial" w:cs="Arial"/>
          <w:b/>
          <w:bCs/>
        </w:rPr>
        <w:t>DE L’INDEMNITE SPECIALE DE FONCTION ET D’ENGAGEMENT (ISFE)</w:t>
      </w:r>
    </w:p>
    <w:p w:rsidR="00CE5565" w:rsidRPr="00B61159" w:rsidRDefault="00A11163" w:rsidP="00A11163">
      <w:pPr>
        <w:spacing w:after="0"/>
        <w:jc w:val="center"/>
        <w:rPr>
          <w:rFonts w:ascii="Arial" w:hAnsi="Arial" w:cs="Arial"/>
        </w:rPr>
      </w:pPr>
      <w:r w:rsidRPr="00B61159">
        <w:rPr>
          <w:rFonts w:ascii="Arial" w:hAnsi="Arial" w:cs="Arial"/>
        </w:rPr>
        <w:t xml:space="preserve"> (</w:t>
      </w:r>
      <w:proofErr w:type="gramStart"/>
      <w:r w:rsidR="00CE5565" w:rsidRPr="00B61159">
        <w:rPr>
          <w:rFonts w:ascii="Arial" w:hAnsi="Arial" w:cs="Arial"/>
        </w:rPr>
        <w:t>acte</w:t>
      </w:r>
      <w:proofErr w:type="gramEnd"/>
      <w:r w:rsidR="00CE5565" w:rsidRPr="00B61159">
        <w:rPr>
          <w:rFonts w:ascii="Arial" w:hAnsi="Arial" w:cs="Arial"/>
        </w:rPr>
        <w:t xml:space="preserve"> non transmissible en préfecture)</w:t>
      </w:r>
    </w:p>
    <w:p w:rsidR="00B35241" w:rsidRPr="00B61159" w:rsidRDefault="00B35241" w:rsidP="00D512BA">
      <w:pPr>
        <w:spacing w:after="0"/>
        <w:jc w:val="both"/>
        <w:rPr>
          <w:rFonts w:ascii="Arial" w:hAnsi="Arial" w:cs="Arial"/>
        </w:rPr>
      </w:pPr>
    </w:p>
    <w:p w:rsidR="00620396" w:rsidRPr="00B61159" w:rsidRDefault="00620396" w:rsidP="00620396">
      <w:pPr>
        <w:spacing w:after="0"/>
        <w:jc w:val="both"/>
        <w:rPr>
          <w:rFonts w:ascii="Arial" w:hAnsi="Arial" w:cs="Arial"/>
          <w:b/>
        </w:rPr>
      </w:pPr>
      <w:r w:rsidRPr="00B61159">
        <w:rPr>
          <w:rFonts w:ascii="Arial" w:hAnsi="Arial" w:cs="Arial"/>
          <w:b/>
        </w:rPr>
        <w:t xml:space="preserve">Le Maire </w:t>
      </w:r>
      <w:r w:rsidRPr="00B61159">
        <w:rPr>
          <w:rFonts w:ascii="Arial" w:hAnsi="Arial" w:cs="Arial"/>
          <w:i/>
          <w:color w:val="4F81BD"/>
        </w:rPr>
        <w:t>(ou le Président)</w:t>
      </w:r>
      <w:r w:rsidRPr="00B61159">
        <w:rPr>
          <w:rFonts w:ascii="Arial" w:hAnsi="Arial" w:cs="Arial"/>
          <w:b/>
        </w:rPr>
        <w:t>,</w:t>
      </w:r>
    </w:p>
    <w:p w:rsidR="00B35241" w:rsidRPr="00B61159" w:rsidRDefault="00B35241" w:rsidP="00D512BA">
      <w:pPr>
        <w:spacing w:after="0"/>
        <w:jc w:val="both"/>
        <w:rPr>
          <w:rFonts w:ascii="Arial" w:hAnsi="Arial" w:cs="Arial"/>
        </w:rPr>
      </w:pPr>
    </w:p>
    <w:p w:rsidR="000F688E" w:rsidRPr="00B61159" w:rsidRDefault="00CE5565" w:rsidP="000F688E">
      <w:pPr>
        <w:spacing w:before="120" w:after="120" w:line="240" w:lineRule="auto"/>
        <w:jc w:val="both"/>
        <w:rPr>
          <w:rFonts w:ascii="Arial" w:hAnsi="Arial" w:cs="Arial"/>
        </w:rPr>
      </w:pPr>
      <w:r w:rsidRPr="00B61159">
        <w:rPr>
          <w:rFonts w:ascii="Arial" w:hAnsi="Arial" w:cs="Arial"/>
        </w:rPr>
        <w:t xml:space="preserve">Vu </w:t>
      </w:r>
      <w:r w:rsidR="00C82EE4" w:rsidRPr="00B61159">
        <w:rPr>
          <w:rFonts w:ascii="Arial" w:hAnsi="Arial" w:cs="Arial"/>
        </w:rPr>
        <w:tab/>
      </w:r>
      <w:r w:rsidR="000F688E" w:rsidRPr="00B61159">
        <w:rPr>
          <w:rFonts w:ascii="Arial" w:hAnsi="Arial" w:cs="Arial"/>
        </w:rPr>
        <w:t xml:space="preserve">le Code Général de la Fonction Publique, et notamment </w:t>
      </w:r>
      <w:r w:rsidR="007E2141" w:rsidRPr="00B61159">
        <w:rPr>
          <w:rFonts w:ascii="Arial" w:hAnsi="Arial" w:cs="Arial"/>
        </w:rPr>
        <w:t xml:space="preserve">l’article </w:t>
      </w:r>
      <w:r w:rsidR="000F688E" w:rsidRPr="00B61159">
        <w:rPr>
          <w:rFonts w:ascii="Arial" w:hAnsi="Arial" w:cs="Arial"/>
        </w:rPr>
        <w:t>L</w:t>
      </w:r>
      <w:r w:rsidR="007E2141" w:rsidRPr="00B61159">
        <w:rPr>
          <w:rFonts w:ascii="Arial" w:hAnsi="Arial" w:cs="Arial"/>
        </w:rPr>
        <w:t>.714-4 et L.</w:t>
      </w:r>
      <w:r w:rsidR="000F688E" w:rsidRPr="00B61159">
        <w:rPr>
          <w:rFonts w:ascii="Arial" w:hAnsi="Arial" w:cs="Arial"/>
        </w:rPr>
        <w:t xml:space="preserve"> 714-13,</w:t>
      </w:r>
    </w:p>
    <w:p w:rsidR="00A11163" w:rsidRPr="00B61159" w:rsidRDefault="00CE5565" w:rsidP="007E2141">
      <w:pPr>
        <w:pStyle w:val="Corpsdetexte"/>
        <w:rPr>
          <w:sz w:val="22"/>
          <w:szCs w:val="22"/>
        </w:rPr>
      </w:pPr>
      <w:r w:rsidRPr="00B61159">
        <w:rPr>
          <w:sz w:val="22"/>
          <w:szCs w:val="22"/>
        </w:rPr>
        <w:t xml:space="preserve">Vu </w:t>
      </w:r>
      <w:r w:rsidR="00C82EE4" w:rsidRPr="00B61159">
        <w:rPr>
          <w:sz w:val="22"/>
          <w:szCs w:val="22"/>
        </w:rPr>
        <w:tab/>
      </w:r>
      <w:r w:rsidR="00A11163" w:rsidRPr="00B61159">
        <w:rPr>
          <w:sz w:val="22"/>
          <w:szCs w:val="22"/>
        </w:rPr>
        <w:t>le décret n°2024-614 du 26 juin 2024 relatif au régime indemnitaire des fonctionnaires relevant des cadres d'emplois de la police municipale et des fonctionnaires relevant du cadre d'emplois des gardes champêtres</w:t>
      </w:r>
    </w:p>
    <w:p w:rsidR="007E2141" w:rsidRPr="00B61159" w:rsidRDefault="007E2141" w:rsidP="007E2141">
      <w:pPr>
        <w:spacing w:before="120" w:after="120"/>
        <w:jc w:val="both"/>
        <w:rPr>
          <w:rFonts w:ascii="Arial" w:hAnsi="Arial" w:cs="Arial"/>
        </w:rPr>
      </w:pPr>
      <w:r w:rsidRPr="00B61159">
        <w:rPr>
          <w:rFonts w:ascii="Arial" w:hAnsi="Arial" w:cs="Arial"/>
        </w:rPr>
        <w:t xml:space="preserve">Vu </w:t>
      </w:r>
      <w:r w:rsidRPr="00B61159">
        <w:rPr>
          <w:rFonts w:ascii="Arial" w:hAnsi="Arial" w:cs="Arial"/>
        </w:rPr>
        <w:tab/>
        <w:t xml:space="preserve">la délibération de l'assemblée délibérante </w:t>
      </w:r>
      <w:r w:rsidRPr="00B61159">
        <w:rPr>
          <w:rFonts w:ascii="Arial" w:hAnsi="Arial" w:cs="Arial"/>
          <w:i/>
          <w:color w:val="4F81BD" w:themeColor="accent1"/>
        </w:rPr>
        <w:t>du ……………</w:t>
      </w:r>
      <w:r w:rsidRPr="00B61159">
        <w:rPr>
          <w:rFonts w:ascii="Arial" w:hAnsi="Arial" w:cs="Arial"/>
          <w:color w:val="4F81BD" w:themeColor="accent1"/>
        </w:rPr>
        <w:t xml:space="preserve"> </w:t>
      </w:r>
      <w:r w:rsidRPr="00B61159">
        <w:rPr>
          <w:rFonts w:ascii="Arial" w:hAnsi="Arial" w:cs="Arial"/>
          <w:i/>
          <w:color w:val="4F81BD" w:themeColor="accent1"/>
        </w:rPr>
        <w:t>(</w:t>
      </w:r>
      <w:r w:rsidRPr="00B61159">
        <w:rPr>
          <w:rFonts w:ascii="Arial" w:hAnsi="Arial" w:cs="Arial"/>
          <w:i/>
          <w:color w:val="4F81BD"/>
        </w:rPr>
        <w:t xml:space="preserve">à compléter d’après votre délibération) </w:t>
      </w:r>
      <w:r w:rsidRPr="00B61159">
        <w:rPr>
          <w:rFonts w:ascii="Arial" w:hAnsi="Arial" w:cs="Arial"/>
        </w:rPr>
        <w:t>relative à la mise en place de l’indemnité spéciale de fonction et d’engagement (ISFE)</w:t>
      </w:r>
    </w:p>
    <w:p w:rsidR="00B35241" w:rsidRPr="00B61159" w:rsidRDefault="00B35241" w:rsidP="00D512BA">
      <w:pPr>
        <w:spacing w:after="0"/>
        <w:rPr>
          <w:rFonts w:ascii="Arial" w:hAnsi="Arial" w:cs="Arial"/>
        </w:rPr>
      </w:pPr>
      <w:bookmarkStart w:id="0" w:name="_GoBack"/>
      <w:bookmarkEnd w:id="0"/>
    </w:p>
    <w:p w:rsidR="00CE5565" w:rsidRPr="00B61159" w:rsidRDefault="00CE5565" w:rsidP="00D512BA">
      <w:pPr>
        <w:spacing w:after="0"/>
        <w:jc w:val="center"/>
        <w:rPr>
          <w:rFonts w:ascii="Arial" w:hAnsi="Arial" w:cs="Arial"/>
          <w:b/>
        </w:rPr>
      </w:pPr>
      <w:r w:rsidRPr="00B61159">
        <w:rPr>
          <w:rFonts w:ascii="Arial" w:hAnsi="Arial" w:cs="Arial"/>
          <w:b/>
        </w:rPr>
        <w:t>ARRETE</w:t>
      </w:r>
    </w:p>
    <w:p w:rsidR="00B35241" w:rsidRPr="00B61159" w:rsidRDefault="00B35241" w:rsidP="00D512BA">
      <w:pPr>
        <w:spacing w:after="0"/>
        <w:rPr>
          <w:rFonts w:ascii="Arial" w:hAnsi="Arial" w:cs="Arial"/>
        </w:rPr>
      </w:pPr>
    </w:p>
    <w:p w:rsidR="00B61159" w:rsidRPr="00CD5C1B" w:rsidRDefault="00B61159" w:rsidP="00B61159">
      <w:pPr>
        <w:spacing w:before="120" w:after="120"/>
        <w:jc w:val="both"/>
        <w:rPr>
          <w:rFonts w:ascii="Arial" w:hAnsi="Arial" w:cs="Arial"/>
        </w:rPr>
      </w:pPr>
      <w:r w:rsidRPr="00CD5C1B">
        <w:rPr>
          <w:rFonts w:ascii="Arial" w:hAnsi="Arial" w:cs="Arial"/>
          <w:b/>
          <w:u w:val="single"/>
        </w:rPr>
        <w:t>ARTICLE 1er :</w:t>
      </w:r>
      <w:r w:rsidRPr="00CD5C1B">
        <w:rPr>
          <w:rFonts w:ascii="Arial" w:hAnsi="Arial" w:cs="Arial"/>
        </w:rPr>
        <w:t xml:space="preserve"> A compter du ………….</w:t>
      </w:r>
      <w:r>
        <w:rPr>
          <w:rFonts w:ascii="Arial" w:hAnsi="Arial" w:cs="Arial"/>
        </w:rPr>
        <w:t xml:space="preserve"> </w:t>
      </w:r>
      <w:r w:rsidRPr="00CD5C1B">
        <w:rPr>
          <w:rFonts w:ascii="Arial" w:hAnsi="Arial" w:cs="Arial"/>
          <w:i/>
          <w:color w:val="4F81BD"/>
        </w:rPr>
        <w:t>Madame/Monsieur …………………, (grade)</w:t>
      </w:r>
      <w:r w:rsidRPr="00CD5C1B">
        <w:rPr>
          <w:rFonts w:ascii="Arial" w:hAnsi="Arial" w:cs="Arial"/>
        </w:rPr>
        <w:t xml:space="preserve">, percevra la part fixe de l’indemnité spéciale de fonction et d’engagement (I.S.F.E.) d’un montant égal à ……………. </w:t>
      </w:r>
      <w:proofErr w:type="gramStart"/>
      <w:r w:rsidRPr="00CD5C1B">
        <w:rPr>
          <w:rFonts w:ascii="Arial" w:hAnsi="Arial" w:cs="Arial"/>
        </w:rPr>
        <w:t xml:space="preserve">%  </w:t>
      </w:r>
      <w:r w:rsidRPr="00CD5C1B">
        <w:rPr>
          <w:rFonts w:ascii="Arial" w:hAnsi="Arial" w:cs="Arial"/>
          <w:i/>
          <w:color w:val="4F81BD" w:themeColor="accent1"/>
        </w:rPr>
        <w:t>(</w:t>
      </w:r>
      <w:proofErr w:type="gramEnd"/>
      <w:r>
        <w:rPr>
          <w:rFonts w:ascii="Arial" w:hAnsi="Arial" w:cs="Arial"/>
          <w:i/>
          <w:color w:val="4F81BD"/>
        </w:rPr>
        <w:t>indiquer le taux prévu dans votre</w:t>
      </w:r>
      <w:r w:rsidRPr="00CD5C1B">
        <w:rPr>
          <w:rFonts w:ascii="Arial" w:hAnsi="Arial" w:cs="Arial"/>
          <w:i/>
          <w:color w:val="4F81BD"/>
        </w:rPr>
        <w:t xml:space="preserve"> délibération)</w:t>
      </w:r>
      <w:r>
        <w:rPr>
          <w:rFonts w:ascii="Arial" w:hAnsi="Arial" w:cs="Arial"/>
          <w:i/>
          <w:color w:val="4F81BD"/>
        </w:rPr>
        <w:t xml:space="preserve"> </w:t>
      </w:r>
      <w:r w:rsidRPr="00CD5C1B">
        <w:rPr>
          <w:rFonts w:ascii="Arial" w:hAnsi="Arial" w:cs="Arial"/>
        </w:rPr>
        <w:t>du traitement brut soumis à retenue pour pension</w:t>
      </w:r>
      <w:r>
        <w:rPr>
          <w:rFonts w:ascii="Arial" w:hAnsi="Arial" w:cs="Arial"/>
        </w:rPr>
        <w:t>.</w:t>
      </w:r>
    </w:p>
    <w:p w:rsidR="00B61159" w:rsidRPr="00CD5C1B" w:rsidRDefault="00B61159" w:rsidP="00B61159">
      <w:pPr>
        <w:spacing w:before="120" w:after="120"/>
        <w:jc w:val="both"/>
        <w:rPr>
          <w:rFonts w:ascii="Arial" w:hAnsi="Arial" w:cs="Arial"/>
        </w:rPr>
      </w:pPr>
      <w:r w:rsidRPr="00CD5C1B">
        <w:rPr>
          <w:rFonts w:ascii="Arial" w:hAnsi="Arial" w:cs="Arial"/>
          <w:b/>
          <w:u w:val="single"/>
        </w:rPr>
        <w:t>ARTICLE 2 :</w:t>
      </w:r>
      <w:r w:rsidRPr="00CD5C1B">
        <w:rPr>
          <w:rFonts w:ascii="Arial" w:hAnsi="Arial" w:cs="Arial"/>
        </w:rPr>
        <w:t xml:space="preserve"> </w:t>
      </w:r>
      <w:r w:rsidRPr="00CD5C1B">
        <w:rPr>
          <w:rFonts w:ascii="Arial" w:hAnsi="Arial" w:cs="Arial"/>
        </w:rPr>
        <w:tab/>
        <w:t xml:space="preserve">Cette indemnité sera versée mensuellement </w:t>
      </w:r>
      <w:bookmarkStart w:id="1" w:name="_Hlk174019160"/>
      <w:r w:rsidRPr="00CD5C1B">
        <w:rPr>
          <w:rFonts w:ascii="Arial" w:hAnsi="Arial" w:cs="Arial"/>
        </w:rPr>
        <w:t>et proratisée en fonction du temps de travail.</w:t>
      </w:r>
      <w:bookmarkEnd w:id="1"/>
    </w:p>
    <w:p w:rsidR="00CE5565" w:rsidRPr="00B61159" w:rsidRDefault="00CE5565" w:rsidP="00D512BA">
      <w:pPr>
        <w:spacing w:after="0"/>
        <w:jc w:val="both"/>
        <w:rPr>
          <w:rFonts w:ascii="Arial" w:hAnsi="Arial" w:cs="Arial"/>
        </w:rPr>
      </w:pPr>
      <w:r w:rsidRPr="00B61159">
        <w:rPr>
          <w:rFonts w:ascii="Arial" w:hAnsi="Arial" w:cs="Arial"/>
          <w:b/>
          <w:u w:val="single"/>
        </w:rPr>
        <w:t xml:space="preserve">ARTICLE 3 </w:t>
      </w:r>
      <w:r w:rsidRPr="00B61159">
        <w:rPr>
          <w:rFonts w:ascii="Arial" w:hAnsi="Arial" w:cs="Arial"/>
        </w:rPr>
        <w:t xml:space="preserve">: </w:t>
      </w:r>
      <w:r w:rsidR="00D512BA" w:rsidRPr="00B61159">
        <w:rPr>
          <w:rFonts w:ascii="Arial" w:hAnsi="Arial" w:cs="Arial"/>
        </w:rPr>
        <w:tab/>
      </w:r>
      <w:r w:rsidRPr="00B61159">
        <w:rPr>
          <w:rFonts w:ascii="Arial" w:hAnsi="Arial" w:cs="Arial"/>
          <w:i/>
          <w:color w:val="4F81BD" w:themeColor="accent1"/>
        </w:rPr>
        <w:t>Le Directeur Général et le comptable</w:t>
      </w:r>
      <w:r w:rsidRPr="00B61159">
        <w:rPr>
          <w:rFonts w:ascii="Arial" w:hAnsi="Arial" w:cs="Arial"/>
          <w:color w:val="4F81BD" w:themeColor="accent1"/>
        </w:rPr>
        <w:t xml:space="preserve"> </w:t>
      </w:r>
      <w:r w:rsidRPr="00B61159">
        <w:rPr>
          <w:rFonts w:ascii="Arial" w:hAnsi="Arial" w:cs="Arial"/>
        </w:rPr>
        <w:t>sont chargés chacun en ce qui le concerne de l’exécution</w:t>
      </w:r>
      <w:r w:rsidR="00D512BA" w:rsidRPr="00B61159">
        <w:rPr>
          <w:rFonts w:ascii="Arial" w:hAnsi="Arial" w:cs="Arial"/>
        </w:rPr>
        <w:t xml:space="preserve"> </w:t>
      </w:r>
      <w:r w:rsidRPr="00B61159">
        <w:rPr>
          <w:rFonts w:ascii="Arial" w:hAnsi="Arial" w:cs="Arial"/>
        </w:rPr>
        <w:t>du présent arrêté qui sera notifié à l’agent.</w:t>
      </w:r>
    </w:p>
    <w:p w:rsidR="00B35241" w:rsidRPr="00B61159" w:rsidRDefault="00B35241" w:rsidP="00D512BA">
      <w:pPr>
        <w:spacing w:after="0"/>
        <w:rPr>
          <w:rFonts w:ascii="Arial" w:hAnsi="Arial" w:cs="Arial"/>
        </w:rPr>
      </w:pPr>
    </w:p>
    <w:p w:rsidR="00E2669A" w:rsidRPr="00B61159" w:rsidRDefault="00E2669A" w:rsidP="00E2669A">
      <w:pPr>
        <w:spacing w:after="0"/>
        <w:ind w:left="4536"/>
        <w:rPr>
          <w:rFonts w:ascii="Arial" w:hAnsi="Arial" w:cs="Arial"/>
        </w:rPr>
      </w:pPr>
      <w:r w:rsidRPr="00B61159">
        <w:rPr>
          <w:rFonts w:ascii="Arial" w:hAnsi="Arial" w:cs="Arial"/>
        </w:rPr>
        <w:t>Fait à………………, le……………………</w:t>
      </w:r>
    </w:p>
    <w:p w:rsidR="00E2669A" w:rsidRPr="00B61159" w:rsidRDefault="00E2669A" w:rsidP="00E2669A">
      <w:pPr>
        <w:spacing w:after="0"/>
        <w:ind w:left="4536"/>
        <w:rPr>
          <w:rFonts w:ascii="Arial" w:hAnsi="Arial" w:cs="Arial"/>
        </w:rPr>
      </w:pPr>
      <w:r w:rsidRPr="00B61159">
        <w:rPr>
          <w:rFonts w:ascii="Arial" w:hAnsi="Arial" w:cs="Arial"/>
        </w:rPr>
        <w:t xml:space="preserve">Le Maire </w:t>
      </w:r>
      <w:r w:rsidRPr="00B61159">
        <w:rPr>
          <w:rFonts w:ascii="Arial" w:hAnsi="Arial" w:cs="Arial"/>
          <w:i/>
          <w:color w:val="4F81BD"/>
        </w:rPr>
        <w:t>(ou le Président)</w:t>
      </w:r>
    </w:p>
    <w:p w:rsidR="00E2669A" w:rsidRPr="00B61159" w:rsidRDefault="00E2669A" w:rsidP="00E2669A">
      <w:pPr>
        <w:spacing w:after="0"/>
        <w:jc w:val="both"/>
        <w:rPr>
          <w:rFonts w:ascii="Arial" w:hAnsi="Arial" w:cs="Arial"/>
        </w:rPr>
      </w:pPr>
      <w:r w:rsidRPr="00B61159">
        <w:rPr>
          <w:rFonts w:ascii="Arial" w:hAnsi="Arial" w:cs="Arial"/>
        </w:rPr>
        <w:t>Notifié à l’intéress</w:t>
      </w:r>
      <w:r w:rsidRPr="00B61159">
        <w:rPr>
          <w:rFonts w:ascii="Arial" w:hAnsi="Arial" w:cs="Arial"/>
          <w:i/>
          <w:color w:val="4F81BD"/>
        </w:rPr>
        <w:t xml:space="preserve">é/e </w:t>
      </w:r>
      <w:r w:rsidRPr="00B61159">
        <w:rPr>
          <w:rFonts w:ascii="Arial" w:hAnsi="Arial" w:cs="Arial"/>
        </w:rPr>
        <w:t>le :</w:t>
      </w:r>
    </w:p>
    <w:p w:rsidR="00E2669A" w:rsidRPr="00B61159" w:rsidRDefault="00E2669A" w:rsidP="00E2669A">
      <w:pPr>
        <w:spacing w:after="0"/>
        <w:jc w:val="both"/>
        <w:rPr>
          <w:rFonts w:ascii="Arial" w:hAnsi="Arial" w:cs="Arial"/>
        </w:rPr>
      </w:pPr>
      <w:r w:rsidRPr="00B61159">
        <w:rPr>
          <w:rFonts w:ascii="Arial" w:hAnsi="Arial" w:cs="Arial"/>
        </w:rPr>
        <w:t xml:space="preserve">Signature de l’agent : </w:t>
      </w:r>
    </w:p>
    <w:p w:rsidR="00E2669A" w:rsidRPr="00B61159" w:rsidRDefault="00E2669A" w:rsidP="00E2669A">
      <w:pPr>
        <w:spacing w:after="0"/>
        <w:jc w:val="both"/>
        <w:rPr>
          <w:rFonts w:ascii="Arial" w:hAnsi="Arial" w:cs="Arial"/>
        </w:rPr>
      </w:pPr>
    </w:p>
    <w:p w:rsidR="00E2669A" w:rsidRPr="00B61159" w:rsidRDefault="00E2669A" w:rsidP="00E2669A">
      <w:pPr>
        <w:spacing w:after="0"/>
        <w:jc w:val="both"/>
        <w:rPr>
          <w:rFonts w:ascii="Arial" w:hAnsi="Arial" w:cs="Arial"/>
        </w:rPr>
      </w:pPr>
    </w:p>
    <w:p w:rsidR="00E2669A" w:rsidRPr="00B61159" w:rsidRDefault="00E2669A" w:rsidP="00E2669A">
      <w:pPr>
        <w:spacing w:after="0"/>
        <w:jc w:val="both"/>
        <w:rPr>
          <w:rFonts w:ascii="Arial" w:hAnsi="Arial" w:cs="Arial"/>
        </w:rPr>
      </w:pPr>
      <w:r w:rsidRPr="00B61159">
        <w:rPr>
          <w:rFonts w:ascii="Arial" w:hAnsi="Arial" w:cs="Arial"/>
        </w:rPr>
        <w:t xml:space="preserve">Le Maire </w:t>
      </w:r>
      <w:r w:rsidRPr="00B61159">
        <w:rPr>
          <w:rFonts w:ascii="Arial" w:hAnsi="Arial" w:cs="Arial"/>
          <w:i/>
          <w:color w:val="4F81BD"/>
        </w:rPr>
        <w:t>(ou le Président)</w:t>
      </w:r>
      <w:r w:rsidRPr="00B61159">
        <w:rPr>
          <w:rFonts w:ascii="Arial" w:hAnsi="Arial" w:cs="Arial"/>
        </w:rPr>
        <w:t>,</w:t>
      </w:r>
    </w:p>
    <w:p w:rsidR="00E2669A" w:rsidRPr="00B61159" w:rsidRDefault="00E2669A" w:rsidP="00E2669A">
      <w:pPr>
        <w:spacing w:after="0"/>
        <w:jc w:val="both"/>
        <w:rPr>
          <w:rFonts w:ascii="Arial" w:hAnsi="Arial" w:cs="Arial"/>
        </w:rPr>
      </w:pPr>
      <w:r w:rsidRPr="00B61159">
        <w:rPr>
          <w:rFonts w:ascii="Arial" w:hAnsi="Arial" w:cs="Arial"/>
        </w:rPr>
        <w:t>- certifie sous sa responsabilité le caractère exécutoire de cet acte,</w:t>
      </w:r>
    </w:p>
    <w:p w:rsidR="00E2669A" w:rsidRPr="00B61159" w:rsidRDefault="00E2669A" w:rsidP="00E2669A">
      <w:pPr>
        <w:spacing w:after="0"/>
        <w:jc w:val="both"/>
        <w:rPr>
          <w:rFonts w:ascii="Arial" w:hAnsi="Arial" w:cs="Arial"/>
        </w:rPr>
      </w:pPr>
      <w:r w:rsidRPr="00B61159">
        <w:rPr>
          <w:rFonts w:ascii="Arial" w:hAnsi="Arial" w:cs="Arial"/>
        </w:rPr>
        <w:t xml:space="preserve">- informe que le présent arrêté peut faire l’objet d’un recours pour excès de pouvoir auprès du tribunal administratif de Besançon, situé 30 Rue Charles Nodier, 25000 Besançon dans un délai de deux mois à compter de sa notification. Le tribunal administratif peut être saisi par l’application informatique « Télérecours citoyens » accessible par le site internet </w:t>
      </w:r>
      <w:hyperlink r:id="rId6" w:history="1">
        <w:r w:rsidRPr="00B61159">
          <w:rPr>
            <w:rStyle w:val="Lienhypertexte"/>
            <w:rFonts w:ascii="Arial" w:hAnsi="Arial" w:cs="Arial"/>
          </w:rPr>
          <w:t>https://www.telerecours.fr</w:t>
        </w:r>
      </w:hyperlink>
      <w:r w:rsidRPr="00B61159">
        <w:rPr>
          <w:rFonts w:ascii="Arial" w:hAnsi="Arial" w:cs="Arial"/>
        </w:rPr>
        <w:t>,</w:t>
      </w:r>
    </w:p>
    <w:p w:rsidR="00E2669A" w:rsidRPr="00B61159" w:rsidRDefault="00E2669A" w:rsidP="00E2669A">
      <w:pPr>
        <w:spacing w:after="0"/>
        <w:jc w:val="both"/>
        <w:rPr>
          <w:rFonts w:ascii="Arial" w:hAnsi="Arial" w:cs="Arial"/>
        </w:rPr>
      </w:pPr>
      <w:r w:rsidRPr="00B61159">
        <w:rPr>
          <w:rFonts w:ascii="Arial" w:hAnsi="Arial" w:cs="Arial"/>
        </w:rPr>
        <w:t>- informe que l’intéress</w:t>
      </w:r>
      <w:r w:rsidRPr="00B61159">
        <w:rPr>
          <w:rFonts w:ascii="Arial" w:hAnsi="Arial" w:cs="Arial"/>
          <w:i/>
          <w:color w:val="4F81BD"/>
        </w:rPr>
        <w:t xml:space="preserve">é/e </w:t>
      </w:r>
      <w:r w:rsidRPr="00B61159">
        <w:rPr>
          <w:rFonts w:ascii="Arial" w:hAnsi="Arial" w:cs="Arial"/>
        </w:rPr>
        <w:t xml:space="preserve">peut consulter le site </w:t>
      </w:r>
      <w:hyperlink r:id="rId7" w:history="1">
        <w:r w:rsidRPr="00B61159">
          <w:rPr>
            <w:rStyle w:val="Lienhypertexte"/>
            <w:rFonts w:ascii="Arial" w:hAnsi="Arial" w:cs="Arial"/>
          </w:rPr>
          <w:t>www.cdg25.org</w:t>
        </w:r>
      </w:hyperlink>
      <w:r w:rsidRPr="00B61159">
        <w:rPr>
          <w:rFonts w:ascii="Arial" w:hAnsi="Arial" w:cs="Arial"/>
        </w:rPr>
        <w:t xml:space="preserve"> pour en savoir plus sur la gestion de ses données personnelles et pour exercer ses droits.</w:t>
      </w:r>
    </w:p>
    <w:p w:rsidR="00CE5565" w:rsidRPr="00B61159" w:rsidRDefault="00CE5565" w:rsidP="00E2669A">
      <w:pPr>
        <w:spacing w:after="0"/>
        <w:ind w:left="4536"/>
        <w:rPr>
          <w:rFonts w:ascii="Arial" w:hAnsi="Arial" w:cs="Arial"/>
        </w:rPr>
      </w:pPr>
    </w:p>
    <w:sectPr w:rsidR="00CE5565" w:rsidRPr="00B61159" w:rsidSect="003B58D9">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8D9" w:rsidRDefault="003B58D9" w:rsidP="003B58D9">
      <w:pPr>
        <w:spacing w:after="0" w:line="240" w:lineRule="auto"/>
      </w:pPr>
      <w:r>
        <w:separator/>
      </w:r>
    </w:p>
  </w:endnote>
  <w:endnote w:type="continuationSeparator" w:id="0">
    <w:p w:rsidR="003B58D9" w:rsidRDefault="003B58D9" w:rsidP="003B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8D9" w:rsidRDefault="003B58D9" w:rsidP="003B58D9">
      <w:pPr>
        <w:spacing w:after="0" w:line="240" w:lineRule="auto"/>
      </w:pPr>
      <w:r>
        <w:separator/>
      </w:r>
    </w:p>
  </w:footnote>
  <w:footnote w:type="continuationSeparator" w:id="0">
    <w:p w:rsidR="003B58D9" w:rsidRDefault="003B58D9" w:rsidP="003B5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65"/>
    <w:rsid w:val="000F688E"/>
    <w:rsid w:val="001609F0"/>
    <w:rsid w:val="001B7E14"/>
    <w:rsid w:val="00233806"/>
    <w:rsid w:val="00285D7B"/>
    <w:rsid w:val="002B0D24"/>
    <w:rsid w:val="002B1666"/>
    <w:rsid w:val="003B58D9"/>
    <w:rsid w:val="003B6A38"/>
    <w:rsid w:val="00464FBD"/>
    <w:rsid w:val="00496370"/>
    <w:rsid w:val="00593B79"/>
    <w:rsid w:val="00620396"/>
    <w:rsid w:val="00653A35"/>
    <w:rsid w:val="006A3B3B"/>
    <w:rsid w:val="006F495A"/>
    <w:rsid w:val="007E2141"/>
    <w:rsid w:val="00804B4D"/>
    <w:rsid w:val="00893A1E"/>
    <w:rsid w:val="0090598C"/>
    <w:rsid w:val="009455E0"/>
    <w:rsid w:val="00A11163"/>
    <w:rsid w:val="00AB5242"/>
    <w:rsid w:val="00B2797A"/>
    <w:rsid w:val="00B35241"/>
    <w:rsid w:val="00B61159"/>
    <w:rsid w:val="00BB6AFB"/>
    <w:rsid w:val="00C82EE4"/>
    <w:rsid w:val="00CE485C"/>
    <w:rsid w:val="00CE5565"/>
    <w:rsid w:val="00D512BA"/>
    <w:rsid w:val="00E2669A"/>
    <w:rsid w:val="00F82B66"/>
    <w:rsid w:val="00F9121D"/>
    <w:rsid w:val="00FA19AC"/>
    <w:rsid w:val="00FF5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72C45-B54A-43CB-B0D0-390AB9EA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8D9"/>
    <w:pPr>
      <w:tabs>
        <w:tab w:val="center" w:pos="4536"/>
        <w:tab w:val="right" w:pos="9072"/>
      </w:tabs>
      <w:spacing w:after="0" w:line="240" w:lineRule="auto"/>
    </w:pPr>
  </w:style>
  <w:style w:type="character" w:customStyle="1" w:styleId="En-tteCar">
    <w:name w:val="En-tête Car"/>
    <w:basedOn w:val="Policepardfaut"/>
    <w:link w:val="En-tte"/>
    <w:uiPriority w:val="99"/>
    <w:rsid w:val="003B58D9"/>
  </w:style>
  <w:style w:type="paragraph" w:styleId="Pieddepage">
    <w:name w:val="footer"/>
    <w:basedOn w:val="Normal"/>
    <w:link w:val="PieddepageCar"/>
    <w:uiPriority w:val="99"/>
    <w:unhideWhenUsed/>
    <w:rsid w:val="003B58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8D9"/>
  </w:style>
  <w:style w:type="character" w:styleId="Lienhypertexte">
    <w:name w:val="Hyperlink"/>
    <w:basedOn w:val="Policepardfaut"/>
    <w:uiPriority w:val="99"/>
    <w:unhideWhenUsed/>
    <w:rsid w:val="002B0D24"/>
    <w:rPr>
      <w:color w:val="0000FF" w:themeColor="hyperlink"/>
      <w:u w:val="single"/>
    </w:rPr>
  </w:style>
  <w:style w:type="character" w:styleId="Mentionnonrsolue">
    <w:name w:val="Unresolved Mention"/>
    <w:basedOn w:val="Policepardfaut"/>
    <w:uiPriority w:val="99"/>
    <w:semiHidden/>
    <w:unhideWhenUsed/>
    <w:rsid w:val="002B0D24"/>
    <w:rPr>
      <w:color w:val="605E5C"/>
      <w:shd w:val="clear" w:color="auto" w:fill="E1DFDD"/>
    </w:rPr>
  </w:style>
  <w:style w:type="paragraph" w:styleId="Sansinterligne">
    <w:name w:val="No Spacing"/>
    <w:uiPriority w:val="1"/>
    <w:qFormat/>
    <w:rsid w:val="00A11163"/>
    <w:pPr>
      <w:spacing w:after="0" w:line="240" w:lineRule="auto"/>
    </w:pPr>
    <w:rPr>
      <w:kern w:val="2"/>
      <w14:ligatures w14:val="standardContextual"/>
    </w:rPr>
  </w:style>
  <w:style w:type="paragraph" w:styleId="Corpsdetexte">
    <w:name w:val="Body Text"/>
    <w:basedOn w:val="Normal"/>
    <w:link w:val="CorpsdetexteCar"/>
    <w:uiPriority w:val="99"/>
    <w:unhideWhenUsed/>
    <w:rsid w:val="006F495A"/>
    <w:pPr>
      <w:tabs>
        <w:tab w:val="left" w:pos="708"/>
        <w:tab w:val="left" w:pos="1260"/>
      </w:tabs>
      <w:spacing w:before="120" w:after="120"/>
      <w:jc w:val="both"/>
    </w:pPr>
    <w:rPr>
      <w:rFonts w:ascii="Arial" w:hAnsi="Arial" w:cs="Arial"/>
      <w:sz w:val="20"/>
      <w:szCs w:val="20"/>
    </w:rPr>
  </w:style>
  <w:style w:type="character" w:customStyle="1" w:styleId="CorpsdetexteCar">
    <w:name w:val="Corps de texte Car"/>
    <w:basedOn w:val="Policepardfaut"/>
    <w:link w:val="Corpsdetexte"/>
    <w:uiPriority w:val="99"/>
    <w:rsid w:val="006F495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80091">
      <w:bodyDiv w:val="1"/>
      <w:marLeft w:val="0"/>
      <w:marRight w:val="0"/>
      <w:marTop w:val="0"/>
      <w:marBottom w:val="0"/>
      <w:divBdr>
        <w:top w:val="none" w:sz="0" w:space="0" w:color="auto"/>
        <w:left w:val="none" w:sz="0" w:space="0" w:color="auto"/>
        <w:bottom w:val="none" w:sz="0" w:space="0" w:color="auto"/>
        <w:right w:val="none" w:sz="0" w:space="0" w:color="auto"/>
      </w:divBdr>
    </w:div>
    <w:div w:id="1811554448">
      <w:bodyDiv w:val="1"/>
      <w:marLeft w:val="0"/>
      <w:marRight w:val="0"/>
      <w:marTop w:val="0"/>
      <w:marBottom w:val="0"/>
      <w:divBdr>
        <w:top w:val="none" w:sz="0" w:space="0" w:color="auto"/>
        <w:left w:val="none" w:sz="0" w:space="0" w:color="auto"/>
        <w:bottom w:val="none" w:sz="0" w:space="0" w:color="auto"/>
        <w:right w:val="none" w:sz="0" w:space="0" w:color="auto"/>
      </w:divBdr>
      <w:divsChild>
        <w:div w:id="921644996">
          <w:marLeft w:val="0"/>
          <w:marRight w:val="0"/>
          <w:marTop w:val="0"/>
          <w:marBottom w:val="0"/>
          <w:divBdr>
            <w:top w:val="none" w:sz="0" w:space="0" w:color="auto"/>
            <w:left w:val="none" w:sz="0" w:space="0" w:color="auto"/>
            <w:bottom w:val="none" w:sz="0" w:space="0" w:color="auto"/>
            <w:right w:val="none" w:sz="0" w:space="0" w:color="auto"/>
          </w:divBdr>
        </w:div>
        <w:div w:id="418871938">
          <w:marLeft w:val="0"/>
          <w:marRight w:val="0"/>
          <w:marTop w:val="0"/>
          <w:marBottom w:val="0"/>
          <w:divBdr>
            <w:top w:val="none" w:sz="0" w:space="0" w:color="auto"/>
            <w:left w:val="none" w:sz="0" w:space="0" w:color="auto"/>
            <w:bottom w:val="none" w:sz="0" w:space="0" w:color="auto"/>
            <w:right w:val="none" w:sz="0" w:space="0" w:color="auto"/>
          </w:divBdr>
        </w:div>
      </w:divsChild>
    </w:div>
    <w:div w:id="1839806596">
      <w:bodyDiv w:val="1"/>
      <w:marLeft w:val="0"/>
      <w:marRight w:val="0"/>
      <w:marTop w:val="0"/>
      <w:marBottom w:val="0"/>
      <w:divBdr>
        <w:top w:val="none" w:sz="0" w:space="0" w:color="auto"/>
        <w:left w:val="none" w:sz="0" w:space="0" w:color="auto"/>
        <w:bottom w:val="none" w:sz="0" w:space="0" w:color="auto"/>
        <w:right w:val="none" w:sz="0" w:space="0" w:color="auto"/>
      </w:divBdr>
    </w:div>
    <w:div w:id="2022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g25.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recours.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314</Words>
  <Characters>1730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22</cp:revision>
  <dcterms:created xsi:type="dcterms:W3CDTF">2021-03-09T14:15:00Z</dcterms:created>
  <dcterms:modified xsi:type="dcterms:W3CDTF">2024-08-12T11:59:00Z</dcterms:modified>
</cp:coreProperties>
</file>